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A7" w:rsidRDefault="00201EA7" w:rsidP="00BB192D">
      <w:pPr>
        <w:autoSpaceDE w:val="0"/>
        <w:autoSpaceDN w:val="0"/>
        <w:rPr>
          <w:rFonts w:ascii="Times New Roman" w:hAnsi="Times New Roman"/>
          <w:color w:val="000000"/>
          <w:sz w:val="20"/>
          <w:szCs w:val="20"/>
        </w:rPr>
      </w:pPr>
    </w:p>
    <w:p w:rsidR="00BB192D" w:rsidRPr="00BB192D" w:rsidRDefault="00BB192D" w:rsidP="00BB192D">
      <w:pPr>
        <w:autoSpaceDE w:val="0"/>
        <w:autoSpaceDN w:val="0"/>
        <w:rPr>
          <w:rFonts w:ascii="Times New Roman" w:hAnsi="Times New Roman"/>
          <w:color w:val="000000"/>
          <w:sz w:val="20"/>
          <w:szCs w:val="20"/>
        </w:rPr>
      </w:pPr>
      <w:r w:rsidRPr="00BB192D">
        <w:rPr>
          <w:rFonts w:ascii="Times New Roman" w:hAnsi="Times New Roman"/>
          <w:color w:val="000000"/>
          <w:sz w:val="20"/>
          <w:szCs w:val="20"/>
        </w:rPr>
        <w:t>Historically, we have provided bilateral lending, interest rate hedging and FX hedging from the same legal entity with any security drafted on a bilateral basis.  With ring-fencing legislation we have changed the way the bank has been structured.  New interest rate and FX hedging will now be provided outside of the ring-fence with NatWest Markets plc, while lending will be provided inside the ring-fence from the ring-fenced bank (the “</w:t>
      </w:r>
      <w:r w:rsidRPr="00BB192D">
        <w:rPr>
          <w:rFonts w:ascii="Times New Roman" w:hAnsi="Times New Roman"/>
          <w:b/>
          <w:bCs/>
          <w:color w:val="000000"/>
          <w:sz w:val="20"/>
          <w:szCs w:val="20"/>
        </w:rPr>
        <w:t>RFB</w:t>
      </w:r>
      <w:r w:rsidRPr="00BB192D">
        <w:rPr>
          <w:rFonts w:ascii="Times New Roman" w:hAnsi="Times New Roman"/>
          <w:color w:val="000000"/>
          <w:sz w:val="20"/>
          <w:szCs w:val="20"/>
        </w:rPr>
        <w:t>”).  A simple security trust structure will be required to ensure that the RFB as lender and NatWest Markets plc as hedge counterparty (the “</w:t>
      </w:r>
      <w:r w:rsidRPr="00BB192D">
        <w:rPr>
          <w:rFonts w:ascii="Times New Roman" w:hAnsi="Times New Roman"/>
          <w:b/>
          <w:bCs/>
          <w:color w:val="000000"/>
          <w:sz w:val="20"/>
          <w:szCs w:val="20"/>
        </w:rPr>
        <w:t>Secured Parties</w:t>
      </w:r>
      <w:r w:rsidRPr="00BB192D">
        <w:rPr>
          <w:rFonts w:ascii="Times New Roman" w:hAnsi="Times New Roman"/>
          <w:color w:val="000000"/>
          <w:sz w:val="20"/>
          <w:szCs w:val="20"/>
        </w:rPr>
        <w:t>”) benefit from the security being provided by the customer.  The RFB is appointed to act as security agent on behalf of the Secured Parties (the “</w:t>
      </w:r>
      <w:r w:rsidRPr="00BB192D">
        <w:rPr>
          <w:rFonts w:ascii="Times New Roman" w:hAnsi="Times New Roman"/>
          <w:b/>
          <w:bCs/>
          <w:color w:val="000000"/>
          <w:sz w:val="20"/>
          <w:szCs w:val="20"/>
        </w:rPr>
        <w:t>Security Agent</w:t>
      </w:r>
      <w:r w:rsidRPr="00BB192D">
        <w:rPr>
          <w:rFonts w:ascii="Times New Roman" w:hAnsi="Times New Roman"/>
          <w:color w:val="000000"/>
          <w:sz w:val="20"/>
          <w:szCs w:val="20"/>
        </w:rPr>
        <w:t>”).</w:t>
      </w:r>
    </w:p>
    <w:p w:rsidR="00BB192D" w:rsidRPr="00BB192D" w:rsidRDefault="00BB192D" w:rsidP="00BB192D">
      <w:pPr>
        <w:autoSpaceDE w:val="0"/>
        <w:autoSpaceDN w:val="0"/>
        <w:rPr>
          <w:rFonts w:ascii="Times New Roman" w:hAnsi="Times New Roman"/>
          <w:color w:val="000000"/>
          <w:sz w:val="20"/>
          <w:szCs w:val="20"/>
        </w:rPr>
      </w:pPr>
    </w:p>
    <w:p w:rsidR="00BB192D" w:rsidRPr="00BB192D" w:rsidRDefault="00BB192D" w:rsidP="00BB192D">
      <w:pPr>
        <w:autoSpaceDE w:val="0"/>
        <w:autoSpaceDN w:val="0"/>
        <w:rPr>
          <w:rFonts w:ascii="Times New Roman" w:hAnsi="Times New Roman"/>
          <w:b/>
          <w:color w:val="000000"/>
          <w:sz w:val="20"/>
          <w:szCs w:val="20"/>
          <w:u w:val="single"/>
        </w:rPr>
      </w:pPr>
      <w:r w:rsidRPr="00BB192D">
        <w:rPr>
          <w:rFonts w:ascii="Times New Roman" w:hAnsi="Times New Roman"/>
          <w:b/>
          <w:color w:val="000000"/>
          <w:sz w:val="20"/>
          <w:szCs w:val="20"/>
          <w:u w:val="single"/>
        </w:rPr>
        <w:t xml:space="preserve">Brand new transactions </w:t>
      </w:r>
    </w:p>
    <w:p w:rsidR="00BB192D" w:rsidRPr="00BB192D" w:rsidRDefault="00BB192D" w:rsidP="00BB192D">
      <w:pPr>
        <w:autoSpaceDE w:val="0"/>
        <w:autoSpaceDN w:val="0"/>
        <w:rPr>
          <w:rFonts w:ascii="Times New Roman" w:hAnsi="Times New Roman"/>
          <w:color w:val="000000"/>
          <w:sz w:val="20"/>
          <w:szCs w:val="20"/>
          <w:u w:val="single"/>
        </w:rPr>
      </w:pPr>
    </w:p>
    <w:p w:rsidR="00BB192D" w:rsidRPr="00BB192D" w:rsidRDefault="00BB192D" w:rsidP="00BB192D">
      <w:pPr>
        <w:autoSpaceDE w:val="0"/>
        <w:autoSpaceDN w:val="0"/>
        <w:rPr>
          <w:rFonts w:ascii="Times New Roman" w:hAnsi="Times New Roman"/>
          <w:color w:val="000000"/>
          <w:sz w:val="20"/>
          <w:szCs w:val="20"/>
        </w:rPr>
      </w:pPr>
      <w:r w:rsidRPr="00BB192D">
        <w:rPr>
          <w:rFonts w:ascii="Times New Roman" w:hAnsi="Times New Roman"/>
          <w:color w:val="000000"/>
          <w:sz w:val="20"/>
          <w:szCs w:val="20"/>
        </w:rPr>
        <w:t>Where hedging and lending is being provided either side of the ring fence, you must draft all product and security documentation on a shared security basis with the RFB acting as security agent on behalf of the Secured Parties.</w:t>
      </w:r>
    </w:p>
    <w:p w:rsidR="00BB192D" w:rsidRPr="00BB192D" w:rsidRDefault="00BB192D" w:rsidP="00BB192D">
      <w:pPr>
        <w:autoSpaceDE w:val="0"/>
        <w:autoSpaceDN w:val="0"/>
        <w:rPr>
          <w:rFonts w:ascii="Times New Roman" w:hAnsi="Times New Roman"/>
          <w:color w:val="000000"/>
          <w:sz w:val="20"/>
          <w:szCs w:val="20"/>
        </w:rPr>
      </w:pPr>
    </w:p>
    <w:p w:rsidR="00BB192D" w:rsidRPr="00BB192D" w:rsidRDefault="00BB192D" w:rsidP="00BB192D">
      <w:pPr>
        <w:autoSpaceDE w:val="0"/>
        <w:autoSpaceDN w:val="0"/>
        <w:rPr>
          <w:rFonts w:ascii="Times New Roman" w:hAnsi="Times New Roman"/>
          <w:color w:val="000000"/>
          <w:sz w:val="20"/>
          <w:szCs w:val="20"/>
        </w:rPr>
      </w:pPr>
      <w:r w:rsidRPr="00BB192D">
        <w:rPr>
          <w:rFonts w:ascii="Times New Roman" w:hAnsi="Times New Roman"/>
          <w:color w:val="000000"/>
          <w:sz w:val="20"/>
          <w:szCs w:val="20"/>
        </w:rPr>
        <w:t xml:space="preserve">Subject to the paragraph below, you do not need to draft and put in place </w:t>
      </w:r>
      <w:proofErr w:type="spellStart"/>
      <w:r w:rsidRPr="00BB192D">
        <w:rPr>
          <w:rFonts w:ascii="Times New Roman" w:hAnsi="Times New Roman"/>
          <w:color w:val="000000"/>
          <w:sz w:val="20"/>
          <w:szCs w:val="20"/>
        </w:rPr>
        <w:t>intercreditor</w:t>
      </w:r>
      <w:proofErr w:type="spellEnd"/>
      <w:r w:rsidRPr="00BB192D">
        <w:rPr>
          <w:rFonts w:ascii="Times New Roman" w:hAnsi="Times New Roman"/>
          <w:color w:val="000000"/>
          <w:sz w:val="20"/>
          <w:szCs w:val="20"/>
        </w:rPr>
        <w:t xml:space="preserve"> arrangements between the Security Agent and the Secured Parties.  We have entered into background </w:t>
      </w:r>
      <w:proofErr w:type="spellStart"/>
      <w:r w:rsidRPr="00BB192D">
        <w:rPr>
          <w:rFonts w:ascii="Times New Roman" w:hAnsi="Times New Roman"/>
          <w:color w:val="000000"/>
          <w:sz w:val="20"/>
          <w:szCs w:val="20"/>
        </w:rPr>
        <w:t>intercreditor</w:t>
      </w:r>
      <w:proofErr w:type="spellEnd"/>
      <w:r w:rsidRPr="00BB192D">
        <w:rPr>
          <w:rFonts w:ascii="Times New Roman" w:hAnsi="Times New Roman"/>
          <w:color w:val="000000"/>
          <w:sz w:val="20"/>
          <w:szCs w:val="20"/>
        </w:rPr>
        <w:t xml:space="preserve"> documentation in respect of these entities.  Product and security documentation must be expressed as being subject to the terms of this </w:t>
      </w:r>
      <w:proofErr w:type="spellStart"/>
      <w:r w:rsidRPr="00BB192D">
        <w:rPr>
          <w:rFonts w:ascii="Times New Roman" w:hAnsi="Times New Roman"/>
          <w:color w:val="000000"/>
          <w:sz w:val="20"/>
          <w:szCs w:val="20"/>
        </w:rPr>
        <w:t>Intercreditor</w:t>
      </w:r>
      <w:proofErr w:type="spellEnd"/>
      <w:r w:rsidRPr="00BB192D">
        <w:rPr>
          <w:rFonts w:ascii="Times New Roman" w:hAnsi="Times New Roman"/>
          <w:color w:val="000000"/>
          <w:sz w:val="20"/>
          <w:szCs w:val="20"/>
        </w:rPr>
        <w:t xml:space="preserve"> Agreement.  Please define this </w:t>
      </w:r>
      <w:proofErr w:type="spellStart"/>
      <w:r w:rsidRPr="00BB192D">
        <w:rPr>
          <w:rFonts w:ascii="Times New Roman" w:hAnsi="Times New Roman"/>
          <w:color w:val="000000"/>
          <w:sz w:val="20"/>
          <w:szCs w:val="20"/>
        </w:rPr>
        <w:t>Intercreditor</w:t>
      </w:r>
      <w:proofErr w:type="spellEnd"/>
      <w:r w:rsidRPr="00BB192D">
        <w:rPr>
          <w:rFonts w:ascii="Times New Roman" w:hAnsi="Times New Roman"/>
          <w:color w:val="000000"/>
          <w:sz w:val="20"/>
          <w:szCs w:val="20"/>
        </w:rPr>
        <w:t xml:space="preserve"> Agreement as “the </w:t>
      </w:r>
      <w:proofErr w:type="spellStart"/>
      <w:r w:rsidRPr="00BB192D">
        <w:rPr>
          <w:rFonts w:ascii="Times New Roman" w:hAnsi="Times New Roman"/>
          <w:color w:val="000000"/>
          <w:sz w:val="20"/>
          <w:szCs w:val="20"/>
        </w:rPr>
        <w:t>intercreditor</w:t>
      </w:r>
      <w:proofErr w:type="spellEnd"/>
      <w:r w:rsidRPr="00BB192D">
        <w:rPr>
          <w:rFonts w:ascii="Times New Roman" w:hAnsi="Times New Roman"/>
          <w:color w:val="000000"/>
          <w:sz w:val="20"/>
          <w:szCs w:val="20"/>
        </w:rPr>
        <w:t xml:space="preserve"> agreement entered into between the Security Agent and the Secured Parties in connection with the liabilities and obligations owed to the Secured Parties by the [Customer], as amended, supplemented, varied or restated from time to time.”</w:t>
      </w:r>
    </w:p>
    <w:p w:rsidR="00BB192D" w:rsidRPr="00BB192D" w:rsidRDefault="00BB192D" w:rsidP="00BB192D">
      <w:pPr>
        <w:autoSpaceDE w:val="0"/>
        <w:autoSpaceDN w:val="0"/>
        <w:rPr>
          <w:rFonts w:ascii="Times New Roman" w:hAnsi="Times New Roman"/>
          <w:color w:val="000000"/>
          <w:sz w:val="20"/>
          <w:szCs w:val="20"/>
        </w:rPr>
      </w:pPr>
    </w:p>
    <w:p w:rsidR="00BB192D" w:rsidRPr="00BB192D" w:rsidRDefault="00BB192D" w:rsidP="00BB192D">
      <w:pPr>
        <w:autoSpaceDE w:val="0"/>
        <w:autoSpaceDN w:val="0"/>
        <w:rPr>
          <w:rFonts w:ascii="Times New Roman" w:hAnsi="Times New Roman"/>
          <w:color w:val="000000"/>
          <w:sz w:val="20"/>
          <w:szCs w:val="20"/>
        </w:rPr>
      </w:pPr>
      <w:r w:rsidRPr="00BB192D">
        <w:rPr>
          <w:rFonts w:ascii="Times New Roman" w:hAnsi="Times New Roman"/>
          <w:color w:val="000000"/>
          <w:sz w:val="20"/>
          <w:szCs w:val="20"/>
        </w:rPr>
        <w:t xml:space="preserve">In certain circumstances it may be necessary that a customer be party to our </w:t>
      </w:r>
      <w:proofErr w:type="spellStart"/>
      <w:r w:rsidRPr="00BB192D">
        <w:rPr>
          <w:rFonts w:ascii="Times New Roman" w:hAnsi="Times New Roman"/>
          <w:color w:val="000000"/>
          <w:sz w:val="20"/>
          <w:szCs w:val="20"/>
        </w:rPr>
        <w:t>intercreditor</w:t>
      </w:r>
      <w:proofErr w:type="spellEnd"/>
      <w:r w:rsidRPr="00BB192D">
        <w:rPr>
          <w:rFonts w:ascii="Times New Roman" w:hAnsi="Times New Roman"/>
          <w:color w:val="000000"/>
          <w:sz w:val="20"/>
          <w:szCs w:val="20"/>
        </w:rPr>
        <w:t xml:space="preserve"> arrangements.  Th</w:t>
      </w:r>
      <w:r w:rsidR="005A6B60">
        <w:rPr>
          <w:rFonts w:ascii="Times New Roman" w:hAnsi="Times New Roman"/>
          <w:color w:val="000000"/>
          <w:sz w:val="20"/>
          <w:szCs w:val="20"/>
        </w:rPr>
        <w:t>e</w:t>
      </w:r>
      <w:r w:rsidRPr="00BB192D">
        <w:rPr>
          <w:rFonts w:ascii="Times New Roman" w:hAnsi="Times New Roman"/>
          <w:color w:val="000000"/>
          <w:sz w:val="20"/>
          <w:szCs w:val="20"/>
        </w:rPr>
        <w:t xml:space="preserve"> </w:t>
      </w:r>
      <w:proofErr w:type="spellStart"/>
      <w:r w:rsidR="005A6B60">
        <w:rPr>
          <w:rFonts w:ascii="Times New Roman" w:hAnsi="Times New Roman"/>
          <w:color w:val="000000"/>
          <w:sz w:val="20"/>
          <w:szCs w:val="20"/>
        </w:rPr>
        <w:t>intercreditor</w:t>
      </w:r>
      <w:proofErr w:type="spellEnd"/>
      <w:r w:rsidR="005A6B60">
        <w:rPr>
          <w:rFonts w:ascii="Times New Roman" w:hAnsi="Times New Roman"/>
          <w:color w:val="000000"/>
          <w:sz w:val="20"/>
          <w:szCs w:val="20"/>
        </w:rPr>
        <w:t xml:space="preserve"> agreement is o</w:t>
      </w:r>
      <w:proofErr w:type="spellStart"/>
      <w:r w:rsidRPr="00BB192D">
        <w:rPr>
          <w:rFonts w:ascii="Times New Roman" w:hAnsi="Times New Roman"/>
          <w:sz w:val="20"/>
          <w:szCs w:val="20"/>
          <w:lang w:val="en"/>
        </w:rPr>
        <w:t>nly</w:t>
      </w:r>
      <w:proofErr w:type="spellEnd"/>
      <w:r w:rsidRPr="00BB192D">
        <w:rPr>
          <w:rFonts w:ascii="Times New Roman" w:hAnsi="Times New Roman"/>
          <w:sz w:val="20"/>
          <w:szCs w:val="20"/>
          <w:lang w:val="en"/>
        </w:rPr>
        <w:t xml:space="preserve"> to be used for transactions where the customer is required to be party to our </w:t>
      </w:r>
      <w:proofErr w:type="spellStart"/>
      <w:r w:rsidRPr="00BB192D">
        <w:rPr>
          <w:rFonts w:ascii="Times New Roman" w:hAnsi="Times New Roman"/>
          <w:sz w:val="20"/>
          <w:szCs w:val="20"/>
          <w:lang w:val="en"/>
        </w:rPr>
        <w:t>intercreditor</w:t>
      </w:r>
      <w:proofErr w:type="spellEnd"/>
      <w:r w:rsidRPr="00BB192D">
        <w:rPr>
          <w:rFonts w:ascii="Times New Roman" w:hAnsi="Times New Roman"/>
          <w:sz w:val="20"/>
          <w:szCs w:val="20"/>
          <w:lang w:val="en"/>
        </w:rPr>
        <w:t xml:space="preserve"> arrangements.   Please do not use this </w:t>
      </w:r>
      <w:proofErr w:type="spellStart"/>
      <w:r w:rsidRPr="00BB192D">
        <w:rPr>
          <w:rFonts w:ascii="Times New Roman" w:hAnsi="Times New Roman"/>
          <w:sz w:val="20"/>
          <w:szCs w:val="20"/>
          <w:lang w:val="en"/>
        </w:rPr>
        <w:t>intercreditor</w:t>
      </w:r>
      <w:proofErr w:type="spellEnd"/>
      <w:r w:rsidRPr="00BB192D">
        <w:rPr>
          <w:rFonts w:ascii="Times New Roman" w:hAnsi="Times New Roman"/>
          <w:sz w:val="20"/>
          <w:szCs w:val="20"/>
          <w:lang w:val="en"/>
        </w:rPr>
        <w:t xml:space="preserve"> unless either (</w:t>
      </w:r>
      <w:proofErr w:type="spellStart"/>
      <w:r w:rsidRPr="00BB192D">
        <w:rPr>
          <w:rFonts w:ascii="Times New Roman" w:hAnsi="Times New Roman"/>
          <w:sz w:val="20"/>
          <w:szCs w:val="20"/>
          <w:lang w:val="en"/>
        </w:rPr>
        <w:t>i</w:t>
      </w:r>
      <w:proofErr w:type="spellEnd"/>
      <w:r w:rsidRPr="00BB192D">
        <w:rPr>
          <w:rFonts w:ascii="Times New Roman" w:hAnsi="Times New Roman"/>
          <w:sz w:val="20"/>
          <w:szCs w:val="20"/>
          <w:lang w:val="en"/>
        </w:rPr>
        <w:t xml:space="preserve">) you have been instructed to use it or (ii) you have identified a legal need for the customer to be party to the </w:t>
      </w:r>
      <w:proofErr w:type="spellStart"/>
      <w:r w:rsidRPr="00BB192D">
        <w:rPr>
          <w:rFonts w:ascii="Times New Roman" w:hAnsi="Times New Roman"/>
          <w:sz w:val="20"/>
          <w:szCs w:val="20"/>
          <w:lang w:val="en"/>
        </w:rPr>
        <w:t>intercreditor</w:t>
      </w:r>
      <w:proofErr w:type="spellEnd"/>
      <w:r w:rsidRPr="00BB192D">
        <w:rPr>
          <w:rFonts w:ascii="Times New Roman" w:hAnsi="Times New Roman"/>
          <w:sz w:val="20"/>
          <w:szCs w:val="20"/>
          <w:lang w:val="en"/>
        </w:rPr>
        <w:t xml:space="preserve"> arrangements (for example, there is intercompany debt that needs to be subordinated and this can only be achieved by having the customer as party to the </w:t>
      </w:r>
      <w:proofErr w:type="spellStart"/>
      <w:r w:rsidRPr="00BB192D">
        <w:rPr>
          <w:rFonts w:ascii="Times New Roman" w:hAnsi="Times New Roman"/>
          <w:sz w:val="20"/>
          <w:szCs w:val="20"/>
          <w:lang w:val="en"/>
        </w:rPr>
        <w:t>intercreditor</w:t>
      </w:r>
      <w:proofErr w:type="spellEnd"/>
      <w:r w:rsidRPr="00BB192D">
        <w:rPr>
          <w:rFonts w:ascii="Times New Roman" w:hAnsi="Times New Roman"/>
          <w:sz w:val="20"/>
          <w:szCs w:val="20"/>
          <w:lang w:val="en"/>
        </w:rPr>
        <w:t xml:space="preserve"> arrangements).    Any terms relating to the rights and obligations </w:t>
      </w:r>
      <w:proofErr w:type="spellStart"/>
      <w:r w:rsidRPr="00BB192D">
        <w:rPr>
          <w:rFonts w:ascii="Times New Roman" w:hAnsi="Times New Roman"/>
          <w:sz w:val="20"/>
          <w:szCs w:val="20"/>
          <w:lang w:val="en"/>
        </w:rPr>
        <w:t>betweenthe</w:t>
      </w:r>
      <w:proofErr w:type="spellEnd"/>
      <w:r w:rsidRPr="00BB192D">
        <w:rPr>
          <w:rFonts w:ascii="Times New Roman" w:hAnsi="Times New Roman"/>
          <w:sz w:val="20"/>
          <w:szCs w:val="20"/>
          <w:lang w:val="en"/>
        </w:rPr>
        <w:t xml:space="preserve">  Secured Parties and the Security Agent should not be amended.  </w:t>
      </w:r>
    </w:p>
    <w:p w:rsidR="00BB192D" w:rsidRDefault="00BB192D" w:rsidP="00BB192D">
      <w:pPr>
        <w:autoSpaceDE w:val="0"/>
        <w:autoSpaceDN w:val="0"/>
        <w:rPr>
          <w:rFonts w:ascii="Times New Roman" w:hAnsi="Times New Roman"/>
          <w:b/>
          <w:color w:val="000000"/>
          <w:sz w:val="20"/>
          <w:szCs w:val="20"/>
          <w:u w:val="single"/>
        </w:rPr>
      </w:pPr>
    </w:p>
    <w:p w:rsidR="00BB192D" w:rsidRDefault="00BB192D" w:rsidP="00BB192D">
      <w:pPr>
        <w:autoSpaceDE w:val="0"/>
        <w:autoSpaceDN w:val="0"/>
        <w:rPr>
          <w:rFonts w:ascii="Times New Roman" w:hAnsi="Times New Roman"/>
          <w:b/>
          <w:color w:val="000000"/>
          <w:sz w:val="20"/>
          <w:szCs w:val="20"/>
          <w:u w:val="single"/>
        </w:rPr>
      </w:pPr>
    </w:p>
    <w:p w:rsidR="00BB192D" w:rsidRPr="00BB192D" w:rsidRDefault="00BB192D" w:rsidP="00BB192D">
      <w:pPr>
        <w:autoSpaceDE w:val="0"/>
        <w:autoSpaceDN w:val="0"/>
        <w:rPr>
          <w:rFonts w:ascii="Times New Roman" w:hAnsi="Times New Roman"/>
          <w:b/>
          <w:color w:val="000000"/>
          <w:sz w:val="20"/>
          <w:szCs w:val="20"/>
          <w:u w:val="single"/>
        </w:rPr>
      </w:pPr>
      <w:r w:rsidRPr="00BB192D">
        <w:rPr>
          <w:rFonts w:ascii="Times New Roman" w:hAnsi="Times New Roman"/>
          <w:b/>
          <w:color w:val="000000"/>
          <w:sz w:val="20"/>
          <w:szCs w:val="20"/>
          <w:u w:val="single"/>
        </w:rPr>
        <w:t>Additional products, security or amendment transactions</w:t>
      </w:r>
    </w:p>
    <w:p w:rsidR="00BB192D" w:rsidRPr="00BB192D" w:rsidRDefault="00BB192D" w:rsidP="00BB192D">
      <w:pPr>
        <w:autoSpaceDE w:val="0"/>
        <w:autoSpaceDN w:val="0"/>
        <w:rPr>
          <w:rFonts w:ascii="Times New Roman" w:hAnsi="Times New Roman"/>
          <w:color w:val="000000"/>
          <w:sz w:val="20"/>
          <w:szCs w:val="20"/>
          <w:u w:val="single"/>
        </w:rPr>
      </w:pPr>
    </w:p>
    <w:p w:rsidR="00BB192D" w:rsidRPr="00BB192D" w:rsidRDefault="00BB192D" w:rsidP="00BB192D">
      <w:pPr>
        <w:autoSpaceDE w:val="0"/>
        <w:autoSpaceDN w:val="0"/>
        <w:rPr>
          <w:rFonts w:ascii="Times New Roman" w:hAnsi="Times New Roman"/>
          <w:color w:val="000000"/>
          <w:sz w:val="20"/>
          <w:szCs w:val="20"/>
        </w:rPr>
      </w:pPr>
      <w:r w:rsidRPr="00BB192D">
        <w:rPr>
          <w:rFonts w:ascii="Times New Roman" w:hAnsi="Times New Roman"/>
          <w:color w:val="000000"/>
          <w:sz w:val="20"/>
          <w:szCs w:val="20"/>
        </w:rPr>
        <w:t>If existing product and security documentation has been drafted on a shared security basis (or has been manually amended to implement shared security), please ignore the following guidance.</w:t>
      </w:r>
    </w:p>
    <w:p w:rsidR="00BB192D" w:rsidRPr="00BB192D" w:rsidRDefault="00BB192D" w:rsidP="00BB192D">
      <w:pPr>
        <w:autoSpaceDE w:val="0"/>
        <w:autoSpaceDN w:val="0"/>
        <w:rPr>
          <w:rFonts w:ascii="Times New Roman" w:hAnsi="Times New Roman"/>
          <w:color w:val="000000"/>
          <w:sz w:val="20"/>
          <w:szCs w:val="20"/>
        </w:rPr>
      </w:pPr>
    </w:p>
    <w:p w:rsidR="00BB192D" w:rsidRPr="00BB192D" w:rsidRDefault="00BB192D" w:rsidP="00BB192D">
      <w:pPr>
        <w:autoSpaceDE w:val="0"/>
        <w:autoSpaceDN w:val="0"/>
        <w:rPr>
          <w:rFonts w:ascii="Times New Roman" w:hAnsi="Times New Roman"/>
          <w:color w:val="000000"/>
          <w:sz w:val="20"/>
          <w:szCs w:val="20"/>
        </w:rPr>
      </w:pPr>
      <w:r w:rsidRPr="00BB192D">
        <w:rPr>
          <w:rFonts w:ascii="Times New Roman" w:hAnsi="Times New Roman"/>
          <w:color w:val="000000"/>
          <w:sz w:val="20"/>
          <w:szCs w:val="20"/>
        </w:rPr>
        <w:t xml:space="preserve">For existing bilateral product and security documentation, subject to a number of exceptions, a security trust structure will have been automatically set by the Ring-Fencing Transfer Scheme </w:t>
      </w:r>
      <w:r w:rsidRPr="00BB192D">
        <w:rPr>
          <w:rFonts w:ascii="Times New Roman" w:hAnsi="Times New Roman"/>
          <w:color w:val="000000"/>
          <w:sz w:val="20"/>
          <w:szCs w:val="20"/>
          <w:u w:val="single"/>
        </w:rPr>
        <w:t>where the Secured Liabilities thereunder comprised of both lending and hedging liabilities</w:t>
      </w:r>
      <w:r w:rsidRPr="00BB192D">
        <w:rPr>
          <w:rFonts w:ascii="Times New Roman" w:hAnsi="Times New Roman"/>
          <w:color w:val="000000"/>
          <w:sz w:val="20"/>
          <w:szCs w:val="20"/>
        </w:rPr>
        <w:t xml:space="preserve"> on or before the following dates:-</w:t>
      </w:r>
    </w:p>
    <w:p w:rsidR="00BB192D" w:rsidRPr="00BB192D" w:rsidRDefault="00BB192D" w:rsidP="00BB192D">
      <w:pPr>
        <w:autoSpaceDE w:val="0"/>
        <w:autoSpaceDN w:val="0"/>
        <w:rPr>
          <w:rFonts w:ascii="Times New Roman" w:hAnsi="Times New Roman"/>
          <w:color w:val="000000"/>
          <w:sz w:val="20"/>
          <w:szCs w:val="20"/>
        </w:rPr>
      </w:pPr>
    </w:p>
    <w:p w:rsidR="00BB192D" w:rsidRPr="00BB192D" w:rsidRDefault="00BB192D" w:rsidP="00BB192D">
      <w:pPr>
        <w:pStyle w:val="ListParagraph"/>
        <w:numPr>
          <w:ilvl w:val="0"/>
          <w:numId w:val="1"/>
        </w:numPr>
        <w:autoSpaceDE w:val="0"/>
        <w:autoSpaceDN w:val="0"/>
        <w:rPr>
          <w:rFonts w:ascii="Times New Roman" w:hAnsi="Times New Roman"/>
          <w:color w:val="000000"/>
          <w:sz w:val="20"/>
          <w:szCs w:val="20"/>
        </w:rPr>
      </w:pPr>
      <w:r w:rsidRPr="00BB192D">
        <w:rPr>
          <w:rFonts w:ascii="Times New Roman" w:hAnsi="Times New Roman"/>
          <w:color w:val="000000"/>
          <w:sz w:val="20"/>
          <w:szCs w:val="20"/>
        </w:rPr>
        <w:t>where The Royal Bank of Scotland plc is the lender, 30 April 2018;</w:t>
      </w:r>
    </w:p>
    <w:p w:rsidR="00BB192D" w:rsidRPr="00BB192D" w:rsidRDefault="00BB192D" w:rsidP="00BB192D">
      <w:pPr>
        <w:pStyle w:val="ListParagraph"/>
        <w:numPr>
          <w:ilvl w:val="0"/>
          <w:numId w:val="1"/>
        </w:numPr>
        <w:autoSpaceDE w:val="0"/>
        <w:autoSpaceDN w:val="0"/>
        <w:rPr>
          <w:rFonts w:ascii="Times New Roman" w:hAnsi="Times New Roman"/>
          <w:color w:val="1F497D"/>
          <w:sz w:val="20"/>
          <w:szCs w:val="20"/>
        </w:rPr>
      </w:pPr>
      <w:r w:rsidRPr="00BB192D">
        <w:rPr>
          <w:rFonts w:ascii="Times New Roman" w:hAnsi="Times New Roman"/>
          <w:color w:val="000000"/>
          <w:sz w:val="20"/>
          <w:szCs w:val="20"/>
        </w:rPr>
        <w:t>where National Westminster Bank plc is the lender, [August 2018].</w:t>
      </w:r>
    </w:p>
    <w:p w:rsidR="00BB192D" w:rsidRPr="00BB192D" w:rsidRDefault="00BB192D" w:rsidP="00BB192D">
      <w:pPr>
        <w:autoSpaceDE w:val="0"/>
        <w:autoSpaceDN w:val="0"/>
        <w:rPr>
          <w:rFonts w:ascii="Times New Roman" w:hAnsi="Times New Roman"/>
          <w:color w:val="1F497D"/>
        </w:rPr>
      </w:pPr>
    </w:p>
    <w:p w:rsidR="00BB192D" w:rsidRPr="00BB192D" w:rsidRDefault="00BB192D" w:rsidP="00BB192D">
      <w:pPr>
        <w:autoSpaceDE w:val="0"/>
        <w:autoSpaceDN w:val="0"/>
        <w:rPr>
          <w:rFonts w:ascii="Times New Roman" w:hAnsi="Times New Roman"/>
          <w:color w:val="1F497D"/>
          <w:sz w:val="20"/>
          <w:szCs w:val="20"/>
        </w:rPr>
      </w:pPr>
      <w:r w:rsidRPr="00BB192D">
        <w:rPr>
          <w:rFonts w:ascii="Times New Roman" w:hAnsi="Times New Roman"/>
          <w:color w:val="000000"/>
          <w:sz w:val="20"/>
          <w:szCs w:val="20"/>
        </w:rPr>
        <w:t xml:space="preserve">All existing documentation should be read as amended </w:t>
      </w:r>
      <w:r w:rsidRPr="00201EA7">
        <w:rPr>
          <w:rFonts w:ascii="Times New Roman" w:hAnsi="Times New Roman"/>
          <w:color w:val="000000"/>
          <w:sz w:val="20"/>
          <w:szCs w:val="20"/>
        </w:rPr>
        <w:t>by the</w:t>
      </w:r>
      <w:r w:rsidR="005A6B60">
        <w:rPr>
          <w:rFonts w:ascii="Times New Roman" w:hAnsi="Times New Roman"/>
          <w:color w:val="000000"/>
          <w:sz w:val="20"/>
          <w:szCs w:val="20"/>
        </w:rPr>
        <w:t xml:space="preserve"> Bank’s Ring Fencing Transfer Scheme.</w:t>
      </w:r>
      <w:r w:rsidRPr="00BB192D">
        <w:rPr>
          <w:rFonts w:ascii="Times New Roman" w:hAnsi="Times New Roman"/>
          <w:color w:val="000000"/>
          <w:sz w:val="20"/>
          <w:szCs w:val="20"/>
        </w:rPr>
        <w:t xml:space="preserve">  Security and product documentation has been amended so that NatWest Markets plc is the hedge counterparty, and all security is in favour of the Security Agent on behalf of the Secured Parties.  We have entered into background </w:t>
      </w:r>
      <w:proofErr w:type="spellStart"/>
      <w:r w:rsidRPr="00BB192D">
        <w:rPr>
          <w:rFonts w:ascii="Times New Roman" w:hAnsi="Times New Roman"/>
          <w:color w:val="000000"/>
          <w:sz w:val="20"/>
          <w:szCs w:val="20"/>
        </w:rPr>
        <w:t>intercreditor</w:t>
      </w:r>
      <w:proofErr w:type="spellEnd"/>
      <w:r w:rsidRPr="00BB192D">
        <w:rPr>
          <w:rFonts w:ascii="Times New Roman" w:hAnsi="Times New Roman"/>
          <w:color w:val="000000"/>
          <w:sz w:val="20"/>
          <w:szCs w:val="20"/>
        </w:rPr>
        <w:t xml:space="preserve"> documentation in respect of these entities.  The </w:t>
      </w:r>
      <w:proofErr w:type="spellStart"/>
      <w:r w:rsidRPr="00BB192D">
        <w:rPr>
          <w:rFonts w:ascii="Times New Roman" w:hAnsi="Times New Roman"/>
          <w:color w:val="000000"/>
          <w:sz w:val="20"/>
          <w:szCs w:val="20"/>
        </w:rPr>
        <w:t>intercreditor</w:t>
      </w:r>
      <w:proofErr w:type="spellEnd"/>
      <w:r w:rsidRPr="00BB192D">
        <w:rPr>
          <w:rFonts w:ascii="Times New Roman" w:hAnsi="Times New Roman"/>
          <w:color w:val="000000"/>
          <w:sz w:val="20"/>
          <w:szCs w:val="20"/>
        </w:rPr>
        <w:t xml:space="preserve"> allows us to bolt on additional products or security to the security trust that was created by the scheme.  Additional products or security must be drafted on a shared security basis.</w:t>
      </w:r>
    </w:p>
    <w:p w:rsidR="00BB192D" w:rsidRPr="00BB192D" w:rsidRDefault="00BB192D" w:rsidP="00BB192D">
      <w:pPr>
        <w:autoSpaceDE w:val="0"/>
        <w:autoSpaceDN w:val="0"/>
        <w:rPr>
          <w:rFonts w:ascii="Times New Roman" w:hAnsi="Times New Roman"/>
          <w:color w:val="000000"/>
          <w:sz w:val="20"/>
          <w:szCs w:val="20"/>
        </w:rPr>
      </w:pPr>
      <w:r w:rsidRPr="00BB192D">
        <w:rPr>
          <w:rFonts w:ascii="Times New Roman" w:hAnsi="Times New Roman"/>
          <w:color w:val="000000"/>
          <w:sz w:val="20"/>
          <w:szCs w:val="20"/>
        </w:rPr>
        <w:t xml:space="preserve">  </w:t>
      </w:r>
    </w:p>
    <w:p w:rsidR="00BB192D" w:rsidRPr="00BB192D" w:rsidRDefault="00BB192D" w:rsidP="00BB192D">
      <w:pPr>
        <w:autoSpaceDE w:val="0"/>
        <w:autoSpaceDN w:val="0"/>
        <w:rPr>
          <w:rFonts w:ascii="Times New Roman" w:hAnsi="Times New Roman"/>
          <w:color w:val="000000"/>
          <w:sz w:val="20"/>
          <w:szCs w:val="20"/>
        </w:rPr>
      </w:pPr>
      <w:r w:rsidRPr="00BB192D">
        <w:rPr>
          <w:rFonts w:ascii="Times New Roman" w:hAnsi="Times New Roman"/>
          <w:color w:val="000000"/>
          <w:sz w:val="20"/>
          <w:szCs w:val="20"/>
        </w:rPr>
        <w:t>Where an existing product(s) was not subject to the Ring-Fencing Transfer Scheme, and we are adding a further product or security such that shared security is now required, a security trust will need to be manually set up in the manner described above.  The original product documentation will need to be amended</w:t>
      </w:r>
      <w:r w:rsidR="005A6B60">
        <w:rPr>
          <w:rFonts w:ascii="Times New Roman" w:hAnsi="Times New Roman"/>
          <w:color w:val="000000"/>
          <w:sz w:val="20"/>
          <w:szCs w:val="20"/>
        </w:rPr>
        <w:t xml:space="preserve"> </w:t>
      </w:r>
      <w:r w:rsidRPr="00BB192D">
        <w:rPr>
          <w:rFonts w:ascii="Times New Roman" w:hAnsi="Times New Roman"/>
          <w:color w:val="000000"/>
          <w:sz w:val="20"/>
          <w:szCs w:val="20"/>
        </w:rPr>
        <w:t xml:space="preserve"> (please see th</w:t>
      </w:r>
      <w:r w:rsidR="005A6B60">
        <w:rPr>
          <w:rFonts w:ascii="Times New Roman" w:hAnsi="Times New Roman"/>
          <w:color w:val="000000"/>
          <w:sz w:val="20"/>
          <w:szCs w:val="20"/>
        </w:rPr>
        <w:t>e</w:t>
      </w:r>
      <w:r w:rsidRPr="00BB192D">
        <w:rPr>
          <w:rFonts w:ascii="Times New Roman" w:hAnsi="Times New Roman"/>
          <w:color w:val="000000"/>
          <w:sz w:val="20"/>
          <w:szCs w:val="20"/>
        </w:rPr>
        <w:t xml:space="preserve"> </w:t>
      </w:r>
      <w:r w:rsidR="005A6B60">
        <w:rPr>
          <w:rFonts w:ascii="Times New Roman" w:hAnsi="Times New Roman"/>
          <w:sz w:val="20"/>
          <w:szCs w:val="20"/>
        </w:rPr>
        <w:t>Facility Agreement Side Letter</w:t>
      </w:r>
      <w:bookmarkStart w:id="0" w:name="_GoBack"/>
      <w:r w:rsidRPr="005A6B60">
        <w:rPr>
          <w:rFonts w:ascii="Times New Roman" w:hAnsi="Times New Roman"/>
          <w:sz w:val="20"/>
          <w:szCs w:val="20"/>
        </w:rPr>
        <w:t xml:space="preserve"> </w:t>
      </w:r>
      <w:bookmarkEnd w:id="0"/>
      <w:r w:rsidRPr="00BB192D">
        <w:rPr>
          <w:rFonts w:ascii="Times New Roman" w:hAnsi="Times New Roman"/>
          <w:sz w:val="20"/>
          <w:szCs w:val="20"/>
        </w:rPr>
        <w:t xml:space="preserve">as a starting </w:t>
      </w:r>
      <w:r w:rsidRPr="00BB192D">
        <w:rPr>
          <w:rFonts w:ascii="Times New Roman" w:hAnsi="Times New Roman"/>
          <w:color w:val="000000"/>
          <w:sz w:val="20"/>
          <w:szCs w:val="20"/>
        </w:rPr>
        <w:t xml:space="preserve">point) and existing security will need to be released and retaken on a shared security basis. Please advise on the best manner at achieving this, and whether any existing ancillary documentation can be relied on. </w:t>
      </w:r>
    </w:p>
    <w:sectPr w:rsidR="00BB192D" w:rsidRPr="00BB192D" w:rsidSect="00BB192D">
      <w:pgSz w:w="11906" w:h="16838"/>
      <w:pgMar w:top="42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74AB"/>
    <w:multiLevelType w:val="hybridMultilevel"/>
    <w:tmpl w:val="D4822E3A"/>
    <w:lvl w:ilvl="0" w:tplc="2E6E865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2D"/>
    <w:rsid w:val="00201EA7"/>
    <w:rsid w:val="005A6B60"/>
    <w:rsid w:val="00AF49A6"/>
    <w:rsid w:val="00B87053"/>
    <w:rsid w:val="00BB1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192D"/>
    <w:rPr>
      <w:color w:val="0000FF"/>
      <w:u w:val="single"/>
    </w:rPr>
  </w:style>
  <w:style w:type="paragraph" w:styleId="ListParagraph">
    <w:name w:val="List Paragraph"/>
    <w:basedOn w:val="Normal"/>
    <w:uiPriority w:val="34"/>
    <w:qFormat/>
    <w:rsid w:val="00BB192D"/>
    <w:pPr>
      <w:ind w:left="720"/>
    </w:pPr>
  </w:style>
  <w:style w:type="character" w:styleId="CommentReference">
    <w:name w:val="annotation reference"/>
    <w:basedOn w:val="DefaultParagraphFont"/>
    <w:uiPriority w:val="99"/>
    <w:semiHidden/>
    <w:unhideWhenUsed/>
    <w:rsid w:val="00AF49A6"/>
    <w:rPr>
      <w:sz w:val="16"/>
      <w:szCs w:val="16"/>
    </w:rPr>
  </w:style>
  <w:style w:type="paragraph" w:styleId="CommentText">
    <w:name w:val="annotation text"/>
    <w:basedOn w:val="Normal"/>
    <w:link w:val="CommentTextChar"/>
    <w:uiPriority w:val="99"/>
    <w:semiHidden/>
    <w:unhideWhenUsed/>
    <w:rsid w:val="00AF49A6"/>
    <w:rPr>
      <w:sz w:val="20"/>
      <w:szCs w:val="20"/>
    </w:rPr>
  </w:style>
  <w:style w:type="character" w:customStyle="1" w:styleId="CommentTextChar">
    <w:name w:val="Comment Text Char"/>
    <w:basedOn w:val="DefaultParagraphFont"/>
    <w:link w:val="CommentText"/>
    <w:uiPriority w:val="99"/>
    <w:semiHidden/>
    <w:rsid w:val="00AF49A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49A6"/>
    <w:rPr>
      <w:b/>
      <w:bCs/>
    </w:rPr>
  </w:style>
  <w:style w:type="character" w:customStyle="1" w:styleId="CommentSubjectChar">
    <w:name w:val="Comment Subject Char"/>
    <w:basedOn w:val="CommentTextChar"/>
    <w:link w:val="CommentSubject"/>
    <w:uiPriority w:val="99"/>
    <w:semiHidden/>
    <w:rsid w:val="00AF49A6"/>
    <w:rPr>
      <w:rFonts w:ascii="Calibri" w:hAnsi="Calibri" w:cs="Times New Roman"/>
      <w:b/>
      <w:bCs/>
      <w:sz w:val="20"/>
      <w:szCs w:val="20"/>
    </w:rPr>
  </w:style>
  <w:style w:type="paragraph" w:styleId="BalloonText">
    <w:name w:val="Balloon Text"/>
    <w:basedOn w:val="Normal"/>
    <w:link w:val="BalloonTextChar"/>
    <w:uiPriority w:val="99"/>
    <w:semiHidden/>
    <w:unhideWhenUsed/>
    <w:rsid w:val="00AF49A6"/>
    <w:rPr>
      <w:rFonts w:ascii="Tahoma" w:hAnsi="Tahoma" w:cs="Tahoma"/>
      <w:sz w:val="16"/>
      <w:szCs w:val="16"/>
    </w:rPr>
  </w:style>
  <w:style w:type="character" w:customStyle="1" w:styleId="BalloonTextChar">
    <w:name w:val="Balloon Text Char"/>
    <w:basedOn w:val="DefaultParagraphFont"/>
    <w:link w:val="BalloonText"/>
    <w:uiPriority w:val="99"/>
    <w:semiHidden/>
    <w:rsid w:val="00AF49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92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192D"/>
    <w:rPr>
      <w:color w:val="0000FF"/>
      <w:u w:val="single"/>
    </w:rPr>
  </w:style>
  <w:style w:type="paragraph" w:styleId="ListParagraph">
    <w:name w:val="List Paragraph"/>
    <w:basedOn w:val="Normal"/>
    <w:uiPriority w:val="34"/>
    <w:qFormat/>
    <w:rsid w:val="00BB192D"/>
    <w:pPr>
      <w:ind w:left="720"/>
    </w:pPr>
  </w:style>
  <w:style w:type="character" w:styleId="CommentReference">
    <w:name w:val="annotation reference"/>
    <w:basedOn w:val="DefaultParagraphFont"/>
    <w:uiPriority w:val="99"/>
    <w:semiHidden/>
    <w:unhideWhenUsed/>
    <w:rsid w:val="00AF49A6"/>
    <w:rPr>
      <w:sz w:val="16"/>
      <w:szCs w:val="16"/>
    </w:rPr>
  </w:style>
  <w:style w:type="paragraph" w:styleId="CommentText">
    <w:name w:val="annotation text"/>
    <w:basedOn w:val="Normal"/>
    <w:link w:val="CommentTextChar"/>
    <w:uiPriority w:val="99"/>
    <w:semiHidden/>
    <w:unhideWhenUsed/>
    <w:rsid w:val="00AF49A6"/>
    <w:rPr>
      <w:sz w:val="20"/>
      <w:szCs w:val="20"/>
    </w:rPr>
  </w:style>
  <w:style w:type="character" w:customStyle="1" w:styleId="CommentTextChar">
    <w:name w:val="Comment Text Char"/>
    <w:basedOn w:val="DefaultParagraphFont"/>
    <w:link w:val="CommentText"/>
    <w:uiPriority w:val="99"/>
    <w:semiHidden/>
    <w:rsid w:val="00AF49A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49A6"/>
    <w:rPr>
      <w:b/>
      <w:bCs/>
    </w:rPr>
  </w:style>
  <w:style w:type="character" w:customStyle="1" w:styleId="CommentSubjectChar">
    <w:name w:val="Comment Subject Char"/>
    <w:basedOn w:val="CommentTextChar"/>
    <w:link w:val="CommentSubject"/>
    <w:uiPriority w:val="99"/>
    <w:semiHidden/>
    <w:rsid w:val="00AF49A6"/>
    <w:rPr>
      <w:rFonts w:ascii="Calibri" w:hAnsi="Calibri" w:cs="Times New Roman"/>
      <w:b/>
      <w:bCs/>
      <w:sz w:val="20"/>
      <w:szCs w:val="20"/>
    </w:rPr>
  </w:style>
  <w:style w:type="paragraph" w:styleId="BalloonText">
    <w:name w:val="Balloon Text"/>
    <w:basedOn w:val="Normal"/>
    <w:link w:val="BalloonTextChar"/>
    <w:uiPriority w:val="99"/>
    <w:semiHidden/>
    <w:unhideWhenUsed/>
    <w:rsid w:val="00AF49A6"/>
    <w:rPr>
      <w:rFonts w:ascii="Tahoma" w:hAnsi="Tahoma" w:cs="Tahoma"/>
      <w:sz w:val="16"/>
      <w:szCs w:val="16"/>
    </w:rPr>
  </w:style>
  <w:style w:type="character" w:customStyle="1" w:styleId="BalloonTextChar">
    <w:name w:val="Balloon Text Char"/>
    <w:basedOn w:val="DefaultParagraphFont"/>
    <w:link w:val="BalloonText"/>
    <w:uiPriority w:val="99"/>
    <w:semiHidden/>
    <w:rsid w:val="00AF4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Royal Bank of Scotland</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Oconnja</dc:creator>
  <cp:lastModifiedBy>Oconnja</cp:lastModifiedBy>
  <cp:revision>4</cp:revision>
  <dcterms:created xsi:type="dcterms:W3CDTF">2018-04-25T09:18:00Z</dcterms:created>
  <dcterms:modified xsi:type="dcterms:W3CDTF">2018-04-27T13:29:00Z</dcterms:modified>
</cp:coreProperties>
</file>