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FF" w:rsidRDefault="007D02FF" w:rsidP="007D02FF">
      <w:pPr>
        <w:rPr>
          <w:sz w:val="18"/>
        </w:rPr>
      </w:pPr>
      <w:bookmarkStart w:id="0" w:name="_GoBack"/>
      <w:bookmarkEnd w:id="0"/>
    </w:p>
    <w:p w:rsidR="0009218D" w:rsidRPr="0009218D" w:rsidRDefault="007D02FF" w:rsidP="007D02F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spacing w:after="240"/>
        <w:jc w:val="center"/>
        <w:rPr>
          <w:rFonts w:ascii="Arial" w:hAnsi="Arial"/>
          <w:sz w:val="28"/>
        </w:rPr>
      </w:pPr>
      <w:r>
        <w:rPr>
          <w:rStyle w:val="Heading"/>
          <w:rFonts w:ascii="Arial" w:hAnsi="Arial"/>
          <w:sz w:val="28"/>
        </w:rPr>
        <w:t>certificate of Title – qualification schedule</w:t>
      </w:r>
    </w:p>
    <w:p w:rsidR="007D02FF" w:rsidRDefault="007D02FF" w:rsidP="007D02FF"/>
    <w:p w:rsidR="007D02FF" w:rsidRDefault="007D02FF" w:rsidP="007D02FF">
      <w:pPr>
        <w:rPr>
          <w:b/>
        </w:rPr>
      </w:pPr>
      <w:r>
        <w:rPr>
          <w:b/>
        </w:rPr>
        <w:t>Name of Firm: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Reference</w:t>
      </w:r>
    </w:p>
    <w:p w:rsidR="007D02FF" w:rsidRDefault="007D02FF" w:rsidP="007D02F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02FF" w:rsidRDefault="007D02FF" w:rsidP="007D02FF">
      <w:pPr>
        <w:rPr>
          <w:b/>
        </w:rPr>
      </w:pPr>
      <w:r>
        <w:rPr>
          <w:b/>
        </w:rPr>
        <w:t>Property:</w:t>
      </w:r>
    </w:p>
    <w:p w:rsidR="007D02FF" w:rsidRDefault="007D02FF" w:rsidP="007D02FF"/>
    <w:p w:rsidR="007D02FF" w:rsidRDefault="00E945E9" w:rsidP="007D02FF">
      <w:pPr>
        <w:rPr>
          <w:b/>
        </w:rPr>
      </w:pPr>
      <w:r>
        <w:rPr>
          <w:b/>
        </w:rPr>
        <w:t>Security Agent</w:t>
      </w:r>
      <w:r w:rsidR="007D02FF">
        <w:rPr>
          <w:b/>
        </w:rPr>
        <w:t xml:space="preserve"> Reference:</w:t>
      </w:r>
    </w:p>
    <w:p w:rsidR="007D02FF" w:rsidRDefault="007D02FF" w:rsidP="007D02FF"/>
    <w:p w:rsidR="00362B46" w:rsidRDefault="00362B46" w:rsidP="005853DE"/>
    <w:p w:rsidR="005B4B8E" w:rsidRDefault="00332455" w:rsidP="0033245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Material Issues: </w:t>
      </w:r>
    </w:p>
    <w:p w:rsidR="005B4B8E" w:rsidRDefault="00362B46" w:rsidP="00D45EFA">
      <w:pPr>
        <w:pStyle w:val="ListParagraph"/>
        <w:numPr>
          <w:ilvl w:val="0"/>
          <w:numId w:val="3"/>
        </w:numPr>
        <w:rPr>
          <w:b/>
        </w:rPr>
      </w:pPr>
      <w:r w:rsidRPr="00332455">
        <w:t>Any</w:t>
      </w:r>
      <w:r w:rsidRPr="00332455">
        <w:rPr>
          <w:b/>
        </w:rPr>
        <w:t xml:space="preserve"> </w:t>
      </w:r>
      <w:r w:rsidR="0009218D" w:rsidRPr="00332455">
        <w:rPr>
          <w:b/>
        </w:rPr>
        <w:t xml:space="preserve">unresolved </w:t>
      </w:r>
      <w:r w:rsidRPr="00332455">
        <w:rPr>
          <w:b/>
        </w:rPr>
        <w:t xml:space="preserve">Material Issues </w:t>
      </w:r>
      <w:r w:rsidRPr="00332455">
        <w:t xml:space="preserve">(see our General Instructions) should be raised </w:t>
      </w:r>
      <w:r w:rsidRPr="00332455">
        <w:rPr>
          <w:b/>
        </w:rPr>
        <w:t>immediately</w:t>
      </w:r>
      <w:r w:rsidRPr="00332455">
        <w:t xml:space="preserve"> with the Relationship Contact (as advised in the </w:t>
      </w:r>
      <w:r w:rsidR="00E945E9">
        <w:t xml:space="preserve">Security Agent’s </w:t>
      </w:r>
      <w:r w:rsidRPr="00332455">
        <w:t xml:space="preserve"> instruction letter)</w:t>
      </w:r>
      <w:r w:rsidRPr="00332455">
        <w:rPr>
          <w:b/>
        </w:rPr>
        <w:t xml:space="preserve"> and should not form part of this Qualification Schedule.</w:t>
      </w:r>
      <w:r w:rsidR="00EE03FC" w:rsidRPr="00332455">
        <w:rPr>
          <w:b/>
        </w:rPr>
        <w:t xml:space="preserve"> </w:t>
      </w:r>
    </w:p>
    <w:p w:rsidR="005B4B8E" w:rsidRPr="005B4B8E" w:rsidRDefault="005B4B8E" w:rsidP="005B4B8E">
      <w:pPr>
        <w:pStyle w:val="ListParagraph"/>
        <w:numPr>
          <w:ilvl w:val="0"/>
          <w:numId w:val="3"/>
        </w:numPr>
      </w:pPr>
      <w:r>
        <w:t xml:space="preserve">Once any identified Material Issues have been </w:t>
      </w:r>
      <w:r w:rsidR="00D45EFA">
        <w:t xml:space="preserve">fully </w:t>
      </w:r>
      <w:r>
        <w:t xml:space="preserve">resolved or accepted by the Relationship Contact on behalf of the </w:t>
      </w:r>
      <w:r w:rsidR="00E945E9">
        <w:t>Security Agent</w:t>
      </w:r>
      <w:r w:rsidR="00D45EFA">
        <w:t>,</w:t>
      </w:r>
      <w:r>
        <w:t xml:space="preserve"> then you should complete the details in “Part A – Resolved Material Issues”.</w:t>
      </w:r>
      <w:r w:rsidRPr="005B4B8E">
        <w:t xml:space="preserve"> Any qualifications must be accompanied by an explanation of the nature of the issue, details of </w:t>
      </w:r>
      <w:r>
        <w:t xml:space="preserve">how it was resolved </w:t>
      </w:r>
      <w:r w:rsidR="00D45EFA">
        <w:t>(</w:t>
      </w:r>
      <w:r>
        <w:t>including any Relationship Contact authorisation received</w:t>
      </w:r>
      <w:r w:rsidR="00D45EFA">
        <w:t>)</w:t>
      </w:r>
      <w:r>
        <w:t xml:space="preserve"> and </w:t>
      </w:r>
      <w:r w:rsidRPr="005B4B8E">
        <w:t xml:space="preserve">an analysis of any remaining risk involved to the </w:t>
      </w:r>
      <w:r w:rsidR="00E945E9">
        <w:t>Security Agent</w:t>
      </w:r>
      <w:r w:rsidRPr="005B4B8E">
        <w:t>.</w:t>
      </w:r>
    </w:p>
    <w:p w:rsidR="00332455" w:rsidRDefault="00332455" w:rsidP="00332455">
      <w:pPr>
        <w:ind w:left="360"/>
        <w:rPr>
          <w:b/>
        </w:rPr>
      </w:pPr>
    </w:p>
    <w:p w:rsidR="00332455" w:rsidRPr="00332455" w:rsidRDefault="00D45EFA" w:rsidP="00D45EFA">
      <w:pPr>
        <w:pStyle w:val="ListParagraph"/>
        <w:numPr>
          <w:ilvl w:val="0"/>
          <w:numId w:val="2"/>
        </w:numPr>
      </w:pPr>
      <w:r w:rsidRPr="00D45EFA">
        <w:rPr>
          <w:b/>
        </w:rPr>
        <w:t>Non Material Issues</w:t>
      </w:r>
      <w:r w:rsidRPr="00D45EFA">
        <w:t xml:space="preserve">: </w:t>
      </w:r>
      <w:r w:rsidR="00332455" w:rsidRPr="00332455">
        <w:t xml:space="preserve">Once all referrals have been completed with the </w:t>
      </w:r>
      <w:r>
        <w:t xml:space="preserve">Relationship Contact </w:t>
      </w:r>
      <w:r w:rsidR="00332455" w:rsidRPr="00332455">
        <w:t xml:space="preserve">/ </w:t>
      </w:r>
      <w:proofErr w:type="spellStart"/>
      <w:r w:rsidR="00332455" w:rsidRPr="00332455">
        <w:t>valuer</w:t>
      </w:r>
      <w:proofErr w:type="spellEnd"/>
      <w:r w:rsidR="00332455" w:rsidRPr="00332455">
        <w:t xml:space="preserve"> (as appropriate) and any</w:t>
      </w:r>
      <w:r w:rsidR="00332455" w:rsidRPr="00332455">
        <w:rPr>
          <w:b/>
        </w:rPr>
        <w:t xml:space="preserve"> non Material Issues identified have been resolved or mitigated as far as possible, </w:t>
      </w:r>
      <w:r w:rsidR="00332455" w:rsidRPr="00332455">
        <w:t>then you should complete the details</w:t>
      </w:r>
      <w:r>
        <w:t xml:space="preserve"> </w:t>
      </w:r>
      <w:r w:rsidRPr="00D45EFA">
        <w:t>in “Part B – Non Material Issues”</w:t>
      </w:r>
      <w:r>
        <w:t xml:space="preserve">. </w:t>
      </w:r>
      <w:r w:rsidR="00332455" w:rsidRPr="00332455">
        <w:t xml:space="preserve">Any qualifications must be accompanied by an explanation of the nature of the issue, details of any mitigating actions undertaken and an analysis of any remaining risk involved to the </w:t>
      </w:r>
      <w:r w:rsidR="00E945E9">
        <w:t>Security Agent</w:t>
      </w:r>
      <w:r w:rsidR="00332455" w:rsidRPr="00332455">
        <w:t>.</w:t>
      </w:r>
    </w:p>
    <w:p w:rsidR="0009218D" w:rsidRDefault="0009218D" w:rsidP="005853DE">
      <w:pPr>
        <w:rPr>
          <w:b/>
        </w:rPr>
      </w:pPr>
    </w:p>
    <w:p w:rsidR="0009218D" w:rsidRPr="00332455" w:rsidRDefault="00D45EFA" w:rsidP="005853DE">
      <w:r w:rsidRPr="00D45EFA">
        <w:t xml:space="preserve">Once all relevant sections have been completed you should </w:t>
      </w:r>
      <w:r w:rsidR="0009218D" w:rsidRPr="00332455">
        <w:t xml:space="preserve">send </w:t>
      </w:r>
      <w:r w:rsidRPr="00D45EFA">
        <w:t xml:space="preserve">this form </w:t>
      </w:r>
      <w:r w:rsidR="0009218D" w:rsidRPr="00332455">
        <w:t>to Credit Documentation along with your completed Key Step 2 Notice.</w:t>
      </w:r>
    </w:p>
    <w:p w:rsidR="0009218D" w:rsidRPr="00BF587A" w:rsidRDefault="0009218D" w:rsidP="005853DE">
      <w:pPr>
        <w:rPr>
          <w:b/>
        </w:rPr>
      </w:pPr>
    </w:p>
    <w:p w:rsidR="00362B46" w:rsidRDefault="00362B46" w:rsidP="005853DE"/>
    <w:p w:rsidR="0009218D" w:rsidRPr="0009218D" w:rsidRDefault="0009218D" w:rsidP="0009218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spacing w:after="240"/>
        <w:jc w:val="center"/>
        <w:rPr>
          <w:rFonts w:ascii="Arial" w:hAnsi="Arial"/>
          <w:sz w:val="28"/>
        </w:rPr>
      </w:pPr>
      <w:r>
        <w:rPr>
          <w:rStyle w:val="Heading"/>
          <w:rFonts w:ascii="Arial" w:hAnsi="Arial"/>
          <w:sz w:val="28"/>
        </w:rPr>
        <w:t>P</w:t>
      </w:r>
      <w:r>
        <w:rPr>
          <w:rStyle w:val="Heading"/>
          <w:rFonts w:ascii="Arial" w:hAnsi="Arial"/>
          <w:caps w:val="0"/>
          <w:sz w:val="28"/>
        </w:rPr>
        <w:t>art</w:t>
      </w:r>
      <w:r>
        <w:rPr>
          <w:rStyle w:val="Heading"/>
          <w:rFonts w:ascii="Arial" w:hAnsi="Arial"/>
          <w:sz w:val="28"/>
        </w:rPr>
        <w:t xml:space="preserve"> A –</w:t>
      </w:r>
      <w:r w:rsidR="00332455">
        <w:rPr>
          <w:rStyle w:val="Heading"/>
          <w:rFonts w:ascii="Arial" w:hAnsi="Arial"/>
          <w:sz w:val="28"/>
        </w:rPr>
        <w:t xml:space="preserve"> </w:t>
      </w:r>
      <w:r w:rsidR="005B4B8E" w:rsidRPr="005B4B8E">
        <w:rPr>
          <w:rStyle w:val="Heading"/>
          <w:rFonts w:ascii="Arial" w:hAnsi="Arial"/>
          <w:caps w:val="0"/>
          <w:sz w:val="28"/>
        </w:rPr>
        <w:t>R</w:t>
      </w:r>
      <w:r w:rsidR="005B4B8E">
        <w:rPr>
          <w:rStyle w:val="Heading"/>
          <w:rFonts w:ascii="Arial" w:hAnsi="Arial"/>
          <w:caps w:val="0"/>
          <w:sz w:val="28"/>
        </w:rPr>
        <w:t xml:space="preserve">esolved </w:t>
      </w:r>
      <w:r w:rsidRPr="005B4B8E">
        <w:rPr>
          <w:rStyle w:val="Heading"/>
          <w:rFonts w:ascii="Arial" w:hAnsi="Arial"/>
          <w:caps w:val="0"/>
          <w:sz w:val="28"/>
        </w:rPr>
        <w:t>Material</w:t>
      </w:r>
      <w:r>
        <w:rPr>
          <w:rStyle w:val="Heading"/>
          <w:rFonts w:ascii="Arial" w:hAnsi="Arial"/>
          <w:caps w:val="0"/>
          <w:sz w:val="28"/>
        </w:rPr>
        <w:t xml:space="preserve"> Issues</w:t>
      </w:r>
      <w:r w:rsidR="005B4B8E" w:rsidRPr="005B4B8E">
        <w:rPr>
          <w:rStyle w:val="Heading"/>
          <w:rFonts w:ascii="Arial" w:hAnsi="Arial"/>
          <w:caps w:val="0"/>
          <w:sz w:val="28"/>
          <w:vertAlign w:val="superscript"/>
        </w:rPr>
        <w:t>1</w:t>
      </w:r>
    </w:p>
    <w:p w:rsidR="002B6944" w:rsidRDefault="002B6944" w:rsidP="007D02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467"/>
        <w:gridCol w:w="7371"/>
      </w:tblGrid>
      <w:tr w:rsidR="009B1467" w:rsidTr="009B146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>
            <w:r>
              <w:rPr>
                <w:b/>
                <w:sz w:val="24"/>
                <w:szCs w:val="24"/>
              </w:rPr>
              <w:t>No.</w:t>
            </w:r>
          </w:p>
          <w:p w:rsidR="009B1467" w:rsidRDefault="009B1467" w:rsidP="00002F73"/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7" w:rsidRDefault="009B1467" w:rsidP="00FF2B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Actions taken to resolve / Relationship Contact consent obtained </w:t>
            </w:r>
            <w:r w:rsidRPr="00FF2BE2">
              <w:rPr>
                <w:b/>
                <w:sz w:val="24"/>
                <w:szCs w:val="24"/>
              </w:rPr>
              <w:t>(including brief details of the issue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7" w:rsidRDefault="009B1467" w:rsidP="00E94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remaining risk to the </w:t>
            </w:r>
            <w:r w:rsidR="00E945E9">
              <w:rPr>
                <w:b/>
                <w:sz w:val="24"/>
                <w:szCs w:val="24"/>
              </w:rPr>
              <w:t>Security Agent</w:t>
            </w:r>
          </w:p>
        </w:tc>
      </w:tr>
      <w:tr w:rsidR="009B1467" w:rsidTr="009B146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7" w:rsidRDefault="009B1467" w:rsidP="00002F73">
            <w:r>
              <w:t>1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</w:tr>
      <w:tr w:rsidR="009B1467" w:rsidTr="009B146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7" w:rsidRDefault="009B1467" w:rsidP="00002F73">
            <w: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</w:tr>
      <w:tr w:rsidR="009B1467" w:rsidTr="009B146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7" w:rsidRDefault="009B1467" w:rsidP="00002F73">
            <w:r>
              <w:t>3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</w:tr>
      <w:tr w:rsidR="009B1467" w:rsidTr="009B146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7" w:rsidRDefault="009B1467" w:rsidP="00002F73">
            <w:r>
              <w:t>4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</w:tr>
      <w:tr w:rsidR="009B1467" w:rsidTr="009B146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467" w:rsidRDefault="009B1467" w:rsidP="00002F73">
            <w:r>
              <w:t>5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67" w:rsidRDefault="009B1467" w:rsidP="00002F73"/>
        </w:tc>
      </w:tr>
    </w:tbl>
    <w:p w:rsidR="007D02FF" w:rsidRDefault="007D02FF" w:rsidP="007D02FF"/>
    <w:p w:rsidR="00D45EFA" w:rsidRDefault="00D45EFA" w:rsidP="00D45EFA">
      <w:pPr>
        <w:rPr>
          <w:b/>
          <w:sz w:val="24"/>
          <w:szCs w:val="24"/>
        </w:rPr>
      </w:pPr>
      <w:r w:rsidRPr="00F02674">
        <w:rPr>
          <w:b/>
          <w:sz w:val="24"/>
          <w:szCs w:val="24"/>
          <w:vertAlign w:val="superscript"/>
        </w:rPr>
        <w:t xml:space="preserve">1 </w:t>
      </w:r>
      <w:r w:rsidRPr="005B4B8E">
        <w:rPr>
          <w:b/>
          <w:sz w:val="24"/>
          <w:szCs w:val="24"/>
        </w:rPr>
        <w:t xml:space="preserve">By sending in this Qualification Schedule you hereby confirm that </w:t>
      </w:r>
      <w:r>
        <w:rPr>
          <w:b/>
          <w:sz w:val="24"/>
          <w:szCs w:val="24"/>
        </w:rPr>
        <w:t xml:space="preserve">either </w:t>
      </w:r>
      <w:r w:rsidRPr="005B4B8E">
        <w:rPr>
          <w:b/>
          <w:sz w:val="24"/>
          <w:szCs w:val="24"/>
        </w:rPr>
        <w:t xml:space="preserve">no Material Issues have been identified or that any identified have been fully resolved or confirmed </w:t>
      </w:r>
      <w:r w:rsidR="00622968">
        <w:rPr>
          <w:b/>
          <w:sz w:val="24"/>
          <w:szCs w:val="24"/>
        </w:rPr>
        <w:t xml:space="preserve">by the Relationship Contact </w:t>
      </w:r>
      <w:r w:rsidRPr="005B4B8E">
        <w:rPr>
          <w:b/>
          <w:sz w:val="24"/>
          <w:szCs w:val="24"/>
        </w:rPr>
        <w:t xml:space="preserve">as being acceptable to the </w:t>
      </w:r>
      <w:r w:rsidR="00E945E9">
        <w:rPr>
          <w:b/>
          <w:sz w:val="24"/>
          <w:szCs w:val="24"/>
        </w:rPr>
        <w:t>Security Agent</w:t>
      </w:r>
      <w:r w:rsidRPr="005B4B8E">
        <w:rPr>
          <w:b/>
          <w:sz w:val="24"/>
          <w:szCs w:val="24"/>
        </w:rPr>
        <w:t>.</w:t>
      </w:r>
    </w:p>
    <w:p w:rsidR="005B4B8E" w:rsidRDefault="005B4B8E">
      <w:pPr>
        <w:rPr>
          <w:b/>
          <w:sz w:val="24"/>
          <w:szCs w:val="24"/>
        </w:rPr>
      </w:pPr>
    </w:p>
    <w:p w:rsidR="005B4B8E" w:rsidRDefault="005B4B8E">
      <w:pPr>
        <w:rPr>
          <w:b/>
          <w:sz w:val="24"/>
          <w:szCs w:val="24"/>
        </w:rPr>
      </w:pPr>
    </w:p>
    <w:p w:rsidR="005B4B8E" w:rsidRDefault="005B4B8E"/>
    <w:p w:rsidR="00D45EFA" w:rsidRPr="0009218D" w:rsidRDefault="00D45EFA" w:rsidP="00D45EF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25" w:color="auto" w:fill="auto"/>
        <w:spacing w:after="240"/>
        <w:jc w:val="center"/>
        <w:rPr>
          <w:rFonts w:ascii="Arial" w:hAnsi="Arial"/>
          <w:sz w:val="28"/>
        </w:rPr>
      </w:pPr>
      <w:r>
        <w:rPr>
          <w:rStyle w:val="Heading"/>
          <w:rFonts w:ascii="Arial" w:hAnsi="Arial"/>
          <w:sz w:val="28"/>
        </w:rPr>
        <w:lastRenderedPageBreak/>
        <w:t>P</w:t>
      </w:r>
      <w:r>
        <w:rPr>
          <w:rStyle w:val="Heading"/>
          <w:rFonts w:ascii="Arial" w:hAnsi="Arial"/>
          <w:caps w:val="0"/>
          <w:sz w:val="28"/>
        </w:rPr>
        <w:t>art</w:t>
      </w:r>
      <w:r>
        <w:rPr>
          <w:rStyle w:val="Heading"/>
          <w:rFonts w:ascii="Arial" w:hAnsi="Arial"/>
          <w:sz w:val="28"/>
        </w:rPr>
        <w:t xml:space="preserve"> B – N</w:t>
      </w:r>
      <w:r>
        <w:rPr>
          <w:rStyle w:val="Heading"/>
          <w:rFonts w:ascii="Arial" w:hAnsi="Arial"/>
          <w:caps w:val="0"/>
          <w:sz w:val="28"/>
        </w:rPr>
        <w:t>on Material Issues</w:t>
      </w:r>
    </w:p>
    <w:p w:rsidR="00332455" w:rsidRDefault="00332455" w:rsidP="0033245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3782"/>
        <w:gridCol w:w="3685"/>
        <w:gridCol w:w="4253"/>
        <w:gridCol w:w="3118"/>
      </w:tblGrid>
      <w:tr w:rsidR="00332455" w:rsidTr="00002F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>
            <w:r>
              <w:rPr>
                <w:b/>
                <w:sz w:val="24"/>
                <w:szCs w:val="24"/>
              </w:rPr>
              <w:t>No.</w:t>
            </w:r>
          </w:p>
          <w:p w:rsidR="00332455" w:rsidRDefault="00332455" w:rsidP="00002F73"/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details of issue</w:t>
            </w:r>
          </w:p>
          <w:p w:rsidR="00332455" w:rsidRDefault="00332455" w:rsidP="00002F73"/>
          <w:p w:rsidR="00332455" w:rsidRDefault="00332455" w:rsidP="00002F73"/>
          <w:p w:rsidR="00332455" w:rsidRDefault="00332455" w:rsidP="00002F73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002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Mitigating actions taken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E945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 remaining risk to the </w:t>
            </w:r>
            <w:r w:rsidR="00E945E9">
              <w:rPr>
                <w:b/>
                <w:sz w:val="24"/>
                <w:szCs w:val="24"/>
              </w:rPr>
              <w:t>Security Agent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Del="002B6944" w:rsidRDefault="00332455" w:rsidP="00D45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to confirm issue has been disclosed to the </w:t>
            </w:r>
            <w:proofErr w:type="spellStart"/>
            <w:r>
              <w:rPr>
                <w:b/>
                <w:sz w:val="24"/>
                <w:szCs w:val="24"/>
              </w:rPr>
              <w:t>valuer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E03FC">
              <w:rPr>
                <w:b/>
                <w:sz w:val="24"/>
                <w:szCs w:val="24"/>
              </w:rPr>
              <w:t>(and copied to the Relationship Contact)</w:t>
            </w:r>
            <w:r w:rsidR="00D45EFA" w:rsidRPr="00D45EFA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2455" w:rsidTr="00002F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002F73">
            <w:r>
              <w:t>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Pr="00EE03FC" w:rsidRDefault="00332455" w:rsidP="00002F73">
            <w:pPr>
              <w:rPr>
                <w:sz w:val="36"/>
                <w:szCs w:val="36"/>
              </w:rPr>
            </w:pPr>
            <w:r w:rsidRPr="00EE03FC">
              <w:rPr>
                <w:sz w:val="36"/>
                <w:szCs w:val="36"/>
              </w:rPr>
              <w:t>□</w:t>
            </w:r>
          </w:p>
        </w:tc>
      </w:tr>
      <w:tr w:rsidR="00332455" w:rsidTr="00002F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002F73">
            <w:r>
              <w:t>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>
            <w:r w:rsidRPr="00DE5C4A">
              <w:rPr>
                <w:sz w:val="36"/>
                <w:szCs w:val="36"/>
              </w:rPr>
              <w:t>□</w:t>
            </w:r>
          </w:p>
        </w:tc>
      </w:tr>
      <w:tr w:rsidR="00332455" w:rsidTr="00002F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002F73">
            <w:r>
              <w:t>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>
            <w:r w:rsidRPr="00DE5C4A">
              <w:rPr>
                <w:sz w:val="36"/>
                <w:szCs w:val="36"/>
              </w:rPr>
              <w:t>□</w:t>
            </w:r>
          </w:p>
        </w:tc>
      </w:tr>
      <w:tr w:rsidR="00332455" w:rsidTr="00002F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002F73">
            <w: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>
            <w:r w:rsidRPr="00DE5C4A">
              <w:rPr>
                <w:sz w:val="36"/>
                <w:szCs w:val="36"/>
              </w:rPr>
              <w:t>□</w:t>
            </w:r>
          </w:p>
        </w:tc>
      </w:tr>
      <w:tr w:rsidR="00332455" w:rsidTr="00002F73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455" w:rsidRDefault="00332455" w:rsidP="00002F73">
            <w:r>
              <w:t>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55" w:rsidRDefault="00332455" w:rsidP="00002F73">
            <w:r w:rsidRPr="00DE5C4A">
              <w:rPr>
                <w:sz w:val="36"/>
                <w:szCs w:val="36"/>
              </w:rPr>
              <w:t>□</w:t>
            </w:r>
          </w:p>
        </w:tc>
      </w:tr>
    </w:tbl>
    <w:p w:rsidR="00332455" w:rsidRDefault="00332455" w:rsidP="00332455"/>
    <w:p w:rsidR="0009218D" w:rsidRDefault="00D45EFA" w:rsidP="00D45EFA">
      <w:r>
        <w:rPr>
          <w:b/>
          <w:sz w:val="24"/>
          <w:szCs w:val="24"/>
          <w:vertAlign w:val="superscript"/>
        </w:rPr>
        <w:t>2</w:t>
      </w:r>
      <w:r w:rsidR="00332455" w:rsidRPr="00F02674">
        <w:rPr>
          <w:b/>
          <w:sz w:val="24"/>
          <w:szCs w:val="24"/>
          <w:vertAlign w:val="superscript"/>
        </w:rPr>
        <w:t xml:space="preserve"> </w:t>
      </w:r>
      <w:r w:rsidR="00332455" w:rsidRPr="00F02674">
        <w:rPr>
          <w:b/>
          <w:sz w:val="24"/>
          <w:szCs w:val="24"/>
        </w:rPr>
        <w:t xml:space="preserve">Where no tick has been provided then we will assume that you are of the view that the issue in question does not need to be disclosed to the </w:t>
      </w:r>
      <w:proofErr w:type="spellStart"/>
      <w:r w:rsidR="00332455" w:rsidRPr="00F02674">
        <w:rPr>
          <w:b/>
          <w:sz w:val="24"/>
          <w:szCs w:val="24"/>
        </w:rPr>
        <w:t>valuer</w:t>
      </w:r>
      <w:proofErr w:type="spellEnd"/>
      <w:r w:rsidR="00332455" w:rsidRPr="00F02674">
        <w:rPr>
          <w:b/>
          <w:sz w:val="24"/>
          <w:szCs w:val="24"/>
        </w:rPr>
        <w:t xml:space="preserve"> as it has no impact on the valuation and/or the assumptions made therein</w:t>
      </w:r>
      <w:r w:rsidR="00332455">
        <w:t>.</w:t>
      </w:r>
    </w:p>
    <w:p w:rsidR="00A5188B" w:rsidRPr="00C37185" w:rsidRDefault="00A5188B"/>
    <w:sectPr w:rsidR="00A5188B" w:rsidRPr="00C37185" w:rsidSect="00092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2F9"/>
    <w:multiLevelType w:val="hybridMultilevel"/>
    <w:tmpl w:val="A3A0D2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17F7D"/>
    <w:multiLevelType w:val="hybridMultilevel"/>
    <w:tmpl w:val="68F848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F6A022A"/>
    <w:multiLevelType w:val="hybridMultilevel"/>
    <w:tmpl w:val="2828D360"/>
    <w:lvl w:ilvl="0" w:tplc="314C98FA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F"/>
    <w:rsid w:val="0000079B"/>
    <w:rsid w:val="00002F73"/>
    <w:rsid w:val="0009218D"/>
    <w:rsid w:val="00146B26"/>
    <w:rsid w:val="001C3E0D"/>
    <w:rsid w:val="0021049E"/>
    <w:rsid w:val="002B6944"/>
    <w:rsid w:val="00332455"/>
    <w:rsid w:val="00362B46"/>
    <w:rsid w:val="003E6DA3"/>
    <w:rsid w:val="00410705"/>
    <w:rsid w:val="00443D8D"/>
    <w:rsid w:val="004874F6"/>
    <w:rsid w:val="004B41D1"/>
    <w:rsid w:val="004D39D7"/>
    <w:rsid w:val="0056693B"/>
    <w:rsid w:val="005853DE"/>
    <w:rsid w:val="005B4B8E"/>
    <w:rsid w:val="005C3B05"/>
    <w:rsid w:val="00610012"/>
    <w:rsid w:val="00613013"/>
    <w:rsid w:val="00622968"/>
    <w:rsid w:val="006669D8"/>
    <w:rsid w:val="006C5E9E"/>
    <w:rsid w:val="007008C2"/>
    <w:rsid w:val="00790037"/>
    <w:rsid w:val="007D02FF"/>
    <w:rsid w:val="00847677"/>
    <w:rsid w:val="0092696C"/>
    <w:rsid w:val="00996BC1"/>
    <w:rsid w:val="009B1467"/>
    <w:rsid w:val="00A13941"/>
    <w:rsid w:val="00A25D83"/>
    <w:rsid w:val="00A5188B"/>
    <w:rsid w:val="00A54020"/>
    <w:rsid w:val="00AC0B59"/>
    <w:rsid w:val="00B72680"/>
    <w:rsid w:val="00B9686F"/>
    <w:rsid w:val="00BB738B"/>
    <w:rsid w:val="00BF05A5"/>
    <w:rsid w:val="00BF587A"/>
    <w:rsid w:val="00BF6E2A"/>
    <w:rsid w:val="00C1321D"/>
    <w:rsid w:val="00C17C18"/>
    <w:rsid w:val="00C3415C"/>
    <w:rsid w:val="00C36771"/>
    <w:rsid w:val="00C37185"/>
    <w:rsid w:val="00C913EE"/>
    <w:rsid w:val="00D26CEE"/>
    <w:rsid w:val="00D322CB"/>
    <w:rsid w:val="00D45EFA"/>
    <w:rsid w:val="00DB7702"/>
    <w:rsid w:val="00E30F49"/>
    <w:rsid w:val="00E367F6"/>
    <w:rsid w:val="00E64967"/>
    <w:rsid w:val="00E857F2"/>
    <w:rsid w:val="00E945E9"/>
    <w:rsid w:val="00EA3626"/>
    <w:rsid w:val="00EE03FC"/>
    <w:rsid w:val="00F02674"/>
    <w:rsid w:val="00F268C9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FF"/>
    <w:pPr>
      <w:suppressAutoHyphens/>
      <w:jc w:val="both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rsid w:val="007D02FF"/>
    <w:rPr>
      <w:b/>
      <w:bCs w:val="0"/>
      <w:caps/>
    </w:rPr>
  </w:style>
  <w:style w:type="paragraph" w:styleId="ListParagraph">
    <w:name w:val="List Paragraph"/>
    <w:basedOn w:val="Normal"/>
    <w:uiPriority w:val="34"/>
    <w:qFormat/>
    <w:rsid w:val="005853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8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3D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2B6944"/>
    <w:rPr>
      <w:color w:val="0000FF"/>
      <w:u w:val="single"/>
    </w:rPr>
  </w:style>
  <w:style w:type="character" w:styleId="CommentReference">
    <w:name w:val="annotation reference"/>
    <w:rsid w:val="00146B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B26"/>
  </w:style>
  <w:style w:type="character" w:customStyle="1" w:styleId="CommentTextChar">
    <w:name w:val="Comment Text Char"/>
    <w:link w:val="CommentText"/>
    <w:rsid w:val="00146B2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46B26"/>
    <w:rPr>
      <w:b/>
      <w:bCs/>
    </w:rPr>
  </w:style>
  <w:style w:type="character" w:customStyle="1" w:styleId="CommentSubjectChar">
    <w:name w:val="Comment Subject Char"/>
    <w:link w:val="CommentSubject"/>
    <w:rsid w:val="00146B26"/>
    <w:rPr>
      <w:b/>
      <w:bCs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2FF"/>
    <w:pPr>
      <w:suppressAutoHyphens/>
      <w:jc w:val="both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rsid w:val="007D02FF"/>
    <w:rPr>
      <w:b/>
      <w:bCs w:val="0"/>
      <w:caps/>
    </w:rPr>
  </w:style>
  <w:style w:type="paragraph" w:styleId="ListParagraph">
    <w:name w:val="List Paragraph"/>
    <w:basedOn w:val="Normal"/>
    <w:uiPriority w:val="34"/>
    <w:qFormat/>
    <w:rsid w:val="005853D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85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3DE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rsid w:val="002B6944"/>
    <w:rPr>
      <w:color w:val="0000FF"/>
      <w:u w:val="single"/>
    </w:rPr>
  </w:style>
  <w:style w:type="character" w:styleId="CommentReference">
    <w:name w:val="annotation reference"/>
    <w:rsid w:val="00146B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6B26"/>
  </w:style>
  <w:style w:type="character" w:customStyle="1" w:styleId="CommentTextChar">
    <w:name w:val="Comment Text Char"/>
    <w:link w:val="CommentText"/>
    <w:rsid w:val="00146B2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46B26"/>
    <w:rPr>
      <w:b/>
      <w:bCs/>
    </w:rPr>
  </w:style>
  <w:style w:type="character" w:customStyle="1" w:styleId="CommentSubjectChar">
    <w:name w:val="Comment Subject Char"/>
    <w:link w:val="CommentSubject"/>
    <w:rsid w:val="00146B26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FBAE-F6EC-4FE6-940A-0524346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mishrsz</cp:lastModifiedBy>
  <cp:revision>2</cp:revision>
  <dcterms:created xsi:type="dcterms:W3CDTF">2018-09-27T14:08:00Z</dcterms:created>
  <dcterms:modified xsi:type="dcterms:W3CDTF">2018-09-27T14:08:00Z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1946988263</vt:i4>
  </property>
  <property fmtid="{D5CDD505-2E9C-101B-9397-08002B2CF9AE}" pid="3" name="_NewReviewCycle">
    <vt:lpwstr/>
  </property>
  <property fmtid="{D5CDD505-2E9C-101B-9397-08002B2CF9AE}" pid="4" name="_EmailSubject">
    <vt:lpwstr>Issue uploading new docs to Land Website</vt:lpwstr>
  </property>
  <property fmtid="{D5CDD505-2E9C-101B-9397-08002B2CF9AE}" pid="5" name="_AuthorEmail">
    <vt:lpwstr>Amanda.J.Phillips@natwest.com</vt:lpwstr>
  </property>
  <property fmtid="{D5CDD505-2E9C-101B-9397-08002B2CF9AE}" pid="6" name="_AuthorEmailDisplayName">
    <vt:lpwstr>Phillips, Amanda (Term Finance Product Franchise )</vt:lpwstr>
  </property>
  <property fmtid="{D5CDD505-2E9C-101B-9397-08002B2CF9AE}" pid="7" name="_ReviewingToolsShownOnce">
    <vt:lpwstr/>
  </property>
</Properties>
</file>